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Sotenäs kommunfullmäktige</w:t>
      </w:r>
    </w:p>
    <w:p>
      <w:pPr>
        <w:pStyle w:val="Heading1"/>
      </w:pPr>
      <w:r>
        <w:t xml:space="preserve">Tryggare Sotenäs med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Sotenäs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Kungshamn och Hunnebostrand har ökat enligt Brå 2023. Kommunen saknar strategisk kamerabevakning på offentliga platser. Trygghetsundersökningar visar oro bland invånare. Moderaterna vill stärka det brottsförebyggande arbetet.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Sotenäs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strategisk kamerabevakning på prioriterade platser i Kungshamn och Hunnebostrand.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samverkan med Polisen för fler synliga patrulleringar.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ta fram en lokal trygghetsplan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i budget 2027 för trygghetsåtgärder.</w:t>
      </w:r>
    </w:p>
    <w:p>
      <w:pPr>
        <w:spacing w:before="360"/>
      </w:pPr>
    </w:p>
    <w:p>
      <w:r>
        <w:t xml:space="preserve">Sotenäs,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Sotenäs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2026-06-06T01:48:30.427Z</dcterms:created>
  <dcterms:modified xsi:type="dcterms:W3CDTF">2026-06-06T01:48:30.427Z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